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Book Antiqua" w:cs="Book Antiqua" w:eastAsia="Book Antiqua" w:hAnsi="Book Antiqua"/>
          <w:b w:val="1"/>
          <w:sz w:val="26"/>
          <w:szCs w:val="26"/>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after="0" w:lineRule="auto"/>
        <w:jc w:val="center"/>
        <w:rPr>
          <w:rFonts w:ascii="Book Antiqua" w:cs="Book Antiqua" w:eastAsia="Book Antiqua" w:hAnsi="Book Antiqua"/>
          <w:b w:val="1"/>
          <w:sz w:val="30"/>
          <w:szCs w:val="30"/>
        </w:rPr>
      </w:pPr>
      <w:r w:rsidDel="00000000" w:rsidR="00000000" w:rsidRPr="00000000">
        <w:rPr>
          <w:rFonts w:ascii="Book Antiqua" w:cs="Book Antiqua" w:eastAsia="Book Antiqua" w:hAnsi="Book Antiqua"/>
          <w:b w:val="1"/>
          <w:sz w:val="30"/>
          <w:szCs w:val="30"/>
          <w:rtl w:val="0"/>
        </w:rPr>
        <w:t xml:space="preserve">Turkish Airlines amplía su flota con el histórico pedido de Airbus</w:t>
      </w:r>
    </w:p>
    <w:p w:rsidR="00000000" w:rsidDel="00000000" w:rsidP="00000000" w:rsidRDefault="00000000" w:rsidRPr="00000000" w14:paraId="00000003">
      <w:pPr>
        <w:spacing w:after="0" w:lineRule="auto"/>
        <w:ind w:firstLine="720"/>
        <w:jc w:val="both"/>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04">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Estambul, 18 de diciembre de 2023. Turkish Airlines, la aerolínea que vuela a más destinos internacionales que cualquier otra del mundo, anuncia con orgullo una expansión monumental de su flota con la adquisición de 355 aviones Airbus de última generación. Este importante pedido comprende 250 de los A321 más vendidos y 105 del altamente eficiente avión de fuselaje ancho A350, incluidos 60 pedidos en firme, 20 A350-900 con derecho de compra, 15 A350-1000 con pedido en firme y 5 A350-Freighters con pedido en firme y 5 con derecho de compra. </w:t>
      </w:r>
    </w:p>
    <w:p w:rsidR="00000000" w:rsidDel="00000000" w:rsidP="00000000" w:rsidRDefault="00000000" w:rsidRPr="00000000" w14:paraId="00000005">
      <w:pPr>
        <w:spacing w:after="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6">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adquisición estratégica remarca el compromiso de Turkish Airlines de mejorar su eficiencia operativa, gestión medioambiental y comodidad de los pasajeros. La incorporación de estos aviones de próxima generación se alinea con la visión de la aerolínea bandera de continuar liderando la industria de la aviación y al mismo tiempo respaldar el crecimiento sostenible.</w:t>
      </w:r>
    </w:p>
    <w:p w:rsidR="00000000" w:rsidDel="00000000" w:rsidP="00000000" w:rsidRDefault="00000000" w:rsidRPr="00000000" w14:paraId="00000007">
      <w:pPr>
        <w:spacing w:after="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línea con esta importante expansión de flota, Turkish Airlines, la aerolínea nacional de Türkiye, planea continuar reforzando su estatus como compañía aérea con una de las redes de vuelos más completas del mundo. La incorporación de estos aviones Airbus mejorará aún más la capacidad de la aerolínea para conectar Türkiye con los rincones más lejanos del mundo, ofreciendo a sus pasajeros aún más destinos y opciones de viaje, manteniendo al mismo tiempo los más altos estándares de servicio y conectividad por los que Turkish Airlines es reconocida.</w:t>
      </w:r>
    </w:p>
    <w:p w:rsidR="00000000" w:rsidDel="00000000" w:rsidP="00000000" w:rsidRDefault="00000000" w:rsidRPr="00000000" w14:paraId="00000009">
      <w:pPr>
        <w:spacing w:after="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A">
      <w:pPr>
        <w:ind w:left="0" w:firstLine="0"/>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Acerca del nuevo pedido, el </w:t>
      </w:r>
      <w:r w:rsidDel="00000000" w:rsidR="00000000" w:rsidRPr="00000000">
        <w:rPr>
          <w:rFonts w:ascii="Book Antiqua" w:cs="Book Antiqua" w:eastAsia="Book Antiqua" w:hAnsi="Book Antiqua"/>
          <w:b w:val="1"/>
          <w:rtl w:val="0"/>
        </w:rPr>
        <w:t xml:space="preserve">Presidente de la Junta Directiva y del Comité Ejecutivo de Turkish Airlines, Prof. Dr. Ahmet Bolat</w:t>
      </w:r>
      <w:r w:rsidDel="00000000" w:rsidR="00000000" w:rsidRPr="00000000">
        <w:rPr>
          <w:rFonts w:ascii="Book Antiqua" w:cs="Book Antiqua" w:eastAsia="Book Antiqua" w:hAnsi="Book Antiqua"/>
          <w:rtl w:val="0"/>
        </w:rPr>
        <w:t xml:space="preserve">, afirmó: </w:t>
      </w:r>
      <w:r w:rsidDel="00000000" w:rsidR="00000000" w:rsidRPr="00000000">
        <w:rPr>
          <w:rFonts w:ascii="Book Antiqua" w:cs="Book Antiqua" w:eastAsia="Book Antiqua" w:hAnsi="Book Antiqua"/>
          <w:i w:val="1"/>
          <w:rtl w:val="0"/>
        </w:rPr>
        <w:t xml:space="preserve">"Este pedido histórico es más que una expansión; es un testimonio de nuestra dedicación a la innovación, la excelencia operativa y un futuro sostenible. La incorporación de estos avanzados aviones Airbus a nuestra flota no sólo mejorará nuestras capacidades operativas sino que también contribuirá significativamente a nuestros objetivos medioambientales. Esta inversión es un hito crucial en la futura evolución de la industria de la aviación de Türkiye. Al modernizar nuestra flota con sistemas más eficientes y aviones respetuosos con el medio ambiente, estamos reforzando nuestra posición de liderazgo en la aviación mundial y contribuyendo a la prominencia del país como centro de aviación”.</w:t>
      </w:r>
    </w:p>
    <w:p w:rsidR="00000000" w:rsidDel="00000000" w:rsidP="00000000" w:rsidRDefault="00000000" w:rsidRPr="00000000" w14:paraId="0000000B">
      <w:pPr>
        <w:spacing w:after="0" w:lineRule="auto"/>
        <w:ind w:firstLine="72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0C">
      <w:pPr>
        <w:spacing w:after="0" w:lineRule="auto"/>
        <w:ind w:left="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Además, esta expansión también tendrá un impacto positivo considerable en el sector turístico de Türkiye. Las operaciones de vuelo mejoradas y la mayor conectividad, gracias a estos aviones de última generación, atraerán a más turistas internacionales, impulsando la economía del turismo. Esto no sólo mostrará el rico patrimonio cultural y la belleza natural de Türkiye a un público más amplio, sino que también apoyará el crecimiento general del país. Con nuestra base en Estambul, que abarca varios continentes, continuamos nuestra misión de unir a personas de todo el mundo. Estos nuevos aviones no son sólo un paso adelante para Turkish Airlines, sino que representan un gran paso adelante para las industrias de la aviación y el turismo en Türkiye, guiándonos hacia un futuro aún mejor".</w:t>
      </w:r>
    </w:p>
    <w:p w:rsidR="00000000" w:rsidDel="00000000" w:rsidP="00000000" w:rsidRDefault="00000000" w:rsidRPr="00000000" w14:paraId="0000000D">
      <w:pPr>
        <w:spacing w:after="0" w:lineRule="auto"/>
        <w:ind w:lef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0E">
      <w:pPr>
        <w:spacing w:after="0" w:lineRule="auto"/>
        <w:ind w:firstLine="72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0F">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Christian Scherer, Director Comercial y Director Internacional de Airbus, comentó sobre el acuerdo: </w:t>
      </w:r>
      <w:r w:rsidDel="00000000" w:rsidR="00000000" w:rsidRPr="00000000">
        <w:rPr>
          <w:rFonts w:ascii="Book Antiqua" w:cs="Book Antiqua" w:eastAsia="Book Antiqua" w:hAnsi="Book Antiqua"/>
          <w:i w:val="1"/>
          <w:rtl w:val="0"/>
        </w:rPr>
        <w:t xml:space="preserve">"Este pedido de aviones de última generación es una demostración de la visión audaz de Turkish Airlines. Los A350-900, A350-1000, A350F y A321 serán todos serán aviones emblemáticos en sus respectivas categorías y motores de eficiencia para dar forma a la futura expansión sostenible de la aerolínea, con más autonomía, menos combustible, menos ruido y emisiones y la mejor cabina de su clase. La apertura al A350-1000 y al A350F destaca el modelo cruzado valor de la familia A350 y refuerza nuestra asociación duradera con Turkish Airlines y el sector de la aviación de Türkiye en general y estamos orgullosos de acompañar la conexión de Türkiye con el mundo con nuestros aviones de última generación".</w:t>
      </w:r>
      <w:r w:rsidDel="00000000" w:rsidR="00000000" w:rsidRPr="00000000">
        <w:rPr>
          <w:rtl w:val="0"/>
        </w:rPr>
      </w:r>
    </w:p>
    <w:p w:rsidR="00000000" w:rsidDel="00000000" w:rsidP="00000000" w:rsidRDefault="00000000" w:rsidRPr="00000000" w14:paraId="00000010">
      <w:pPr>
        <w:spacing w:after="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1">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Ambos tipos de aviones incorporan tecnologías avanzadas, logrando mejoras notables en el consumo de combustible, los costos operativos, las emisiones de CO2 y la reducción del ruido, lo que subraya el compromiso de Turkish Airlines con la sostenibilidad y la comodidad de los pasajeros.</w:t>
      </w:r>
    </w:p>
    <w:p w:rsidR="00000000" w:rsidDel="00000000" w:rsidP="00000000" w:rsidRDefault="00000000" w:rsidRPr="00000000" w14:paraId="00000012">
      <w:pPr>
        <w:spacing w:after="0"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3">
      <w:pPr>
        <w:spacing w:after="0"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Turkish Airlines continúa liderando el camino en la industria de la aviación, brindando constantemente servicios y experiencias incomparables a sus pasajeros. Esta adquisición histórica refuerza el compromiso de la aerolínea de ofrecer las opciones de viaje más cómodas, eficientes y respetuosas con el medio ambiente a sus valiosos huéspedes.</w:t>
      </w:r>
    </w:p>
    <w:p w:rsidR="00000000" w:rsidDel="00000000" w:rsidP="00000000" w:rsidRDefault="00000000" w:rsidRPr="00000000" w14:paraId="00000014">
      <w:pPr>
        <w:spacing w:after="0" w:lineRule="auto"/>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5">
      <w:pPr>
        <w:spacing w:after="0" w:lineRule="auto"/>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6">
      <w:pPr>
        <w:spacing w:after="0" w:lineRule="auto"/>
        <w:jc w:val="both"/>
        <w:rPr>
          <w:rFonts w:ascii="Book Antiqua" w:cs="Book Antiqua" w:eastAsia="Book Antiqua" w:hAnsi="Book Antiqua"/>
          <w:b w:val="1"/>
          <w:sz w:val="18"/>
          <w:szCs w:val="18"/>
        </w:rPr>
      </w:pPr>
      <w:r w:rsidDel="00000000" w:rsidR="00000000" w:rsidRPr="00000000">
        <w:rPr>
          <w:rFonts w:ascii="Book Antiqua" w:cs="Book Antiqua" w:eastAsia="Book Antiqua" w:hAnsi="Book Antiqua"/>
          <w:b w:val="1"/>
          <w:sz w:val="18"/>
          <w:szCs w:val="18"/>
          <w:u w:val="single"/>
          <w:rtl w:val="0"/>
        </w:rPr>
        <w:t xml:space="preserve">Acerca de Turkish Airlines</w:t>
      </w:r>
      <w:r w:rsidDel="00000000" w:rsidR="00000000" w:rsidRPr="00000000">
        <w:rPr>
          <w:rFonts w:ascii="Book Antiqua" w:cs="Book Antiqua" w:eastAsia="Book Antiqua" w:hAnsi="Book Antiqua"/>
          <w:b w:val="1"/>
          <w:sz w:val="18"/>
          <w:szCs w:val="18"/>
          <w:rtl w:val="0"/>
        </w:rPr>
        <w:t xml:space="preserve">:</w:t>
      </w:r>
    </w:p>
    <w:p w:rsidR="00000000" w:rsidDel="00000000" w:rsidP="00000000" w:rsidRDefault="00000000" w:rsidRPr="00000000" w14:paraId="00000017">
      <w:pPr>
        <w:spacing w:after="0" w:lineRule="auto"/>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Fundada en 1933 con una flota de cinco aviones, Turkish Airlines, miembro de Star Alliance, tiene una flota de 439 aviones (de pasajeros y de carga) que vuelan a 345 destinos en todo el mundo, 292 internacionales y 53 nacionales en 129 países. Puede encontrar más información sobre Turkish Airlines en su sitio web oficial </w:t>
      </w:r>
      <w:hyperlink r:id="rId7">
        <w:r w:rsidDel="00000000" w:rsidR="00000000" w:rsidRPr="00000000">
          <w:rPr>
            <w:rFonts w:ascii="Book Antiqua" w:cs="Book Antiqua" w:eastAsia="Book Antiqua" w:hAnsi="Book Antiqua"/>
            <w:color w:val="0000ff"/>
            <w:sz w:val="18"/>
            <w:szCs w:val="18"/>
            <w:u w:val="single"/>
            <w:rtl w:val="0"/>
          </w:rPr>
          <w:t xml:space="preserve">www.turkishairlines.com</w:t>
        </w:r>
      </w:hyperlink>
      <w:r w:rsidDel="00000000" w:rsidR="00000000" w:rsidRPr="00000000">
        <w:rPr>
          <w:rFonts w:ascii="Book Antiqua" w:cs="Book Antiqua" w:eastAsia="Book Antiqua" w:hAnsi="Book Antiqua"/>
          <w:sz w:val="18"/>
          <w:szCs w:val="18"/>
          <w:rtl w:val="0"/>
        </w:rPr>
        <w:t xml:space="preserve"> o en sus cuentas de redes sociales en Facebook, Twitter, YouTube, LinkedIn e Instagram.</w:t>
      </w:r>
    </w:p>
    <w:p w:rsidR="00000000" w:rsidDel="00000000" w:rsidP="00000000" w:rsidRDefault="00000000" w:rsidRPr="00000000" w14:paraId="00000018">
      <w:pPr>
        <w:spacing w:after="0" w:lineRule="auto"/>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9">
      <w:pPr>
        <w:spacing w:after="0" w:lineRule="auto"/>
        <w:jc w:val="both"/>
        <w:rPr>
          <w:rFonts w:ascii="Book Antiqua" w:cs="Book Antiqua" w:eastAsia="Book Antiqua" w:hAnsi="Book Antiqua"/>
          <w:b w:val="1"/>
          <w:sz w:val="18"/>
          <w:szCs w:val="18"/>
        </w:rPr>
      </w:pPr>
      <w:r w:rsidDel="00000000" w:rsidR="00000000" w:rsidRPr="00000000">
        <w:rPr>
          <w:rFonts w:ascii="Book Antiqua" w:cs="Book Antiqua" w:eastAsia="Book Antiqua" w:hAnsi="Book Antiqua"/>
          <w:b w:val="1"/>
          <w:sz w:val="18"/>
          <w:szCs w:val="18"/>
          <w:u w:val="single"/>
          <w:rtl w:val="0"/>
        </w:rPr>
        <w:t xml:space="preserve">Acerca de Star Alliance</w:t>
      </w:r>
      <w:r w:rsidDel="00000000" w:rsidR="00000000" w:rsidRPr="00000000">
        <w:rPr>
          <w:rFonts w:ascii="Book Antiqua" w:cs="Book Antiqua" w:eastAsia="Book Antiqua" w:hAnsi="Book Antiqua"/>
          <w:b w:val="1"/>
          <w:sz w:val="18"/>
          <w:szCs w:val="18"/>
          <w:rtl w:val="0"/>
        </w:rPr>
        <w:t xml:space="preserve">:</w:t>
      </w:r>
    </w:p>
    <w:p w:rsidR="00000000" w:rsidDel="00000000" w:rsidP="00000000" w:rsidRDefault="00000000" w:rsidRPr="00000000" w14:paraId="0000001A">
      <w:pPr>
        <w:spacing w:after="0" w:lineRule="auto"/>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La red Star Alliance se estableció en 1997 como la primera alianza de aerolíneas verdaderamente global, basada en una propuesta de valor para el cliente de alcance global, reconocimiento mundial y servicio impecable. Desde su creación, ha ofrecido la red de aerolíneas más grande y completa, centrándose en mejorar la experiencia del cliente durante todo el viaje de la Alianza. Las aerolíneas miembros son: Aegean Airlines, Air Canada, Air China, Air India, Air New Zealand, ANA, Asiana Airlines, Austrian, Avianca, Bruselas Airlines, Copa Airlines, Croatia Airlines, EGYPTAIR, Ethiopian Airlines, EVA Air, LOT Polish Airlines , Lufthansa, Scandinavian Airlines, Shenzhen Airlines, Singapore Airlines, South African Airways, SWISS, TAP Air Portugal, THAI, Turkish Airlines y United. En total, la red Star Alliance ofrece actualmente más de 10.000 vuelos diarios a casi 1.200 aeropuertos en 184 países. Los socios de conexión de Star Alliance, Juneyao Airlines y THAI Smile Airways, ofrecen más vuelos de conexión.</w:t>
      </w:r>
    </w:p>
    <w:p w:rsidR="00000000" w:rsidDel="00000000" w:rsidP="00000000" w:rsidRDefault="00000000" w:rsidRPr="00000000" w14:paraId="0000001B">
      <w:pPr>
        <w:spacing w:after="0" w:lineRule="auto"/>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C">
      <w:pPr>
        <w:spacing w:after="0" w:lineRule="auto"/>
        <w:jc w:val="both"/>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1D">
      <w:pPr>
        <w:spacing w:after="0" w:lineRule="auto"/>
        <w:jc w:val="both"/>
        <w:rPr>
          <w:rFonts w:ascii="Book Antiqua" w:cs="Book Antiqua" w:eastAsia="Book Antiqua" w:hAnsi="Book Antiqua"/>
          <w:sz w:val="18"/>
          <w:szCs w:val="18"/>
        </w:rPr>
      </w:pPr>
      <w:r w:rsidDel="00000000" w:rsidR="00000000" w:rsidRPr="00000000">
        <w:rPr>
          <w:rFonts w:ascii="Book Antiqua" w:cs="Book Antiqua" w:eastAsia="Book Antiqua" w:hAnsi="Book Antiqua"/>
          <w:sz w:val="18"/>
          <w:szCs w:val="18"/>
          <w:rtl w:val="0"/>
        </w:rPr>
        <w:t xml:space="preserve">Star Alliance Press Office: Tel: +65 8729 6691 Email: </w:t>
      </w:r>
      <w:hyperlink r:id="rId8">
        <w:r w:rsidDel="00000000" w:rsidR="00000000" w:rsidRPr="00000000">
          <w:rPr>
            <w:rFonts w:ascii="Book Antiqua" w:cs="Book Antiqua" w:eastAsia="Book Antiqua" w:hAnsi="Book Antiqua"/>
            <w:color w:val="0000ff"/>
            <w:sz w:val="18"/>
            <w:szCs w:val="18"/>
            <w:u w:val="single"/>
            <w:rtl w:val="0"/>
          </w:rPr>
          <w:t xml:space="preserve">mediarelations@staralliance.com</w:t>
        </w:r>
      </w:hyperlink>
      <w:r w:rsidDel="00000000" w:rsidR="00000000" w:rsidRPr="00000000">
        <w:rPr>
          <w:rFonts w:ascii="Book Antiqua" w:cs="Book Antiqua" w:eastAsia="Book Antiqua" w:hAnsi="Book Antiqua"/>
          <w:sz w:val="18"/>
          <w:szCs w:val="18"/>
          <w:rtl w:val="0"/>
        </w:rPr>
        <w:t xml:space="preserve"> Visita nuestro </w:t>
      </w:r>
      <w:hyperlink r:id="rId9">
        <w:r w:rsidDel="00000000" w:rsidR="00000000" w:rsidRPr="00000000">
          <w:rPr>
            <w:rFonts w:ascii="Book Antiqua" w:cs="Book Antiqua" w:eastAsia="Book Antiqua" w:hAnsi="Book Antiqua"/>
            <w:color w:val="1155cc"/>
            <w:sz w:val="18"/>
            <w:szCs w:val="18"/>
            <w:u w:val="single"/>
            <w:rtl w:val="0"/>
          </w:rPr>
          <w:t xml:space="preserve">sitio web</w:t>
        </w:r>
      </w:hyperlink>
      <w:r w:rsidDel="00000000" w:rsidR="00000000" w:rsidRPr="00000000">
        <w:rPr>
          <w:rFonts w:ascii="Book Antiqua" w:cs="Book Antiqua" w:eastAsia="Book Antiqua" w:hAnsi="Book Antiqua"/>
          <w:sz w:val="18"/>
          <w:szCs w:val="18"/>
          <w:rtl w:val="0"/>
        </w:rPr>
        <w:t xml:space="preserve"> o conecta con nostros en social media: </w:t>
      </w:r>
      <w:r w:rsidDel="00000000" w:rsidR="00000000" w:rsidRPr="00000000">
        <w:rPr>
          <w:rFonts w:ascii="Book Antiqua" w:cs="Book Antiqua" w:eastAsia="Book Antiqua" w:hAnsi="Book Antiqua"/>
          <w:sz w:val="18"/>
          <w:szCs w:val="18"/>
        </w:rPr>
        <w:drawing>
          <wp:inline distB="0" distT="0" distL="0" distR="0">
            <wp:extent cx="180975" cy="180975"/>
            <wp:effectExtent b="0" l="0" r="0" t="0"/>
            <wp:docPr descr="Logo, company name&#10;&#10;Description automatically generated" id="3" name="image1.png"/>
            <a:graphic>
              <a:graphicData uri="http://schemas.openxmlformats.org/drawingml/2006/picture">
                <pic:pic>
                  <pic:nvPicPr>
                    <pic:cNvPr descr="Logo, company name&#10;&#10;Description automatically generated" id="0" name="image1.png"/>
                    <pic:cNvPicPr preferRelativeResize="0"/>
                  </pic:nvPicPr>
                  <pic:blipFill>
                    <a:blip r:embed="rId10"/>
                    <a:srcRect b="0" l="0" r="0" t="0"/>
                    <a:stretch>
                      <a:fillRect/>
                    </a:stretch>
                  </pic:blipFill>
                  <pic:spPr>
                    <a:xfrm>
                      <a:off x="0" y="0"/>
                      <a:ext cx="180975" cy="180975"/>
                    </a:xfrm>
                    <a:prstGeom prst="rect"/>
                    <a:ln/>
                  </pic:spPr>
                </pic:pic>
              </a:graphicData>
            </a:graphic>
          </wp:inline>
        </w:drawing>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sz w:val="18"/>
          <w:szCs w:val="18"/>
        </w:rPr>
        <w:drawing>
          <wp:inline distB="0" distT="0" distL="0" distR="0">
            <wp:extent cx="180975" cy="180975"/>
            <wp:effectExtent b="0" l="0" r="0" t="0"/>
            <wp:docPr descr="A picture containing text, clipart&#10;&#10;Description automatically generated" id="5" name="image7.jpg"/>
            <a:graphic>
              <a:graphicData uri="http://schemas.openxmlformats.org/drawingml/2006/picture">
                <pic:pic>
                  <pic:nvPicPr>
                    <pic:cNvPr descr="A picture containing text, clipart&#10;&#10;Description automatically generated" id="0" name="image7.jpg"/>
                    <pic:cNvPicPr preferRelativeResize="0"/>
                  </pic:nvPicPr>
                  <pic:blipFill>
                    <a:blip r:embed="rId11"/>
                    <a:srcRect b="0" l="0" r="0" t="0"/>
                    <a:stretch>
                      <a:fillRect/>
                    </a:stretch>
                  </pic:blipFill>
                  <pic:spPr>
                    <a:xfrm>
                      <a:off x="0" y="0"/>
                      <a:ext cx="180975" cy="180975"/>
                    </a:xfrm>
                    <a:prstGeom prst="rect"/>
                    <a:ln/>
                  </pic:spPr>
                </pic:pic>
              </a:graphicData>
            </a:graphic>
          </wp:inline>
        </w:drawing>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sz w:val="18"/>
          <w:szCs w:val="18"/>
        </w:rPr>
        <w:drawing>
          <wp:inline distB="0" distT="0" distL="0" distR="0">
            <wp:extent cx="180975" cy="180975"/>
            <wp:effectExtent b="0" l="0" r="0" t="0"/>
            <wp:docPr descr="cid:image004.jpg@01D8EDE0.169F1050" id="4" name="image3.jpg"/>
            <a:graphic>
              <a:graphicData uri="http://schemas.openxmlformats.org/drawingml/2006/picture">
                <pic:pic>
                  <pic:nvPicPr>
                    <pic:cNvPr descr="cid:image004.jpg@01D8EDE0.169F1050" id="0" name="image3.jpg"/>
                    <pic:cNvPicPr preferRelativeResize="0"/>
                  </pic:nvPicPr>
                  <pic:blipFill>
                    <a:blip r:embed="rId12"/>
                    <a:srcRect b="0" l="0" r="0" t="0"/>
                    <a:stretch>
                      <a:fillRect/>
                    </a:stretch>
                  </pic:blipFill>
                  <pic:spPr>
                    <a:xfrm>
                      <a:off x="0" y="0"/>
                      <a:ext cx="180975" cy="180975"/>
                    </a:xfrm>
                    <a:prstGeom prst="rect"/>
                    <a:ln/>
                  </pic:spPr>
                </pic:pic>
              </a:graphicData>
            </a:graphic>
          </wp:inline>
        </w:drawing>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sz w:val="18"/>
          <w:szCs w:val="18"/>
        </w:rPr>
        <w:drawing>
          <wp:inline distB="0" distT="0" distL="0" distR="0">
            <wp:extent cx="209550" cy="180975"/>
            <wp:effectExtent b="0" l="0" r="0" t="0"/>
            <wp:docPr descr="cid:image005.png@01D8EDE0.169F1050" id="7" name="image6.png"/>
            <a:graphic>
              <a:graphicData uri="http://schemas.openxmlformats.org/drawingml/2006/picture">
                <pic:pic>
                  <pic:nvPicPr>
                    <pic:cNvPr descr="cid:image005.png@01D8EDE0.169F1050" id="0" name="image6.png"/>
                    <pic:cNvPicPr preferRelativeResize="0"/>
                  </pic:nvPicPr>
                  <pic:blipFill>
                    <a:blip r:embed="rId13"/>
                    <a:srcRect b="0" l="0" r="0" t="0"/>
                    <a:stretch>
                      <a:fillRect/>
                    </a:stretch>
                  </pic:blipFill>
                  <pic:spPr>
                    <a:xfrm>
                      <a:off x="0" y="0"/>
                      <a:ext cx="209550" cy="180975"/>
                    </a:xfrm>
                    <a:prstGeom prst="rect"/>
                    <a:ln/>
                  </pic:spPr>
                </pic:pic>
              </a:graphicData>
            </a:graphic>
          </wp:inline>
        </w:drawing>
      </w:r>
      <w:r w:rsidDel="00000000" w:rsidR="00000000" w:rsidRPr="00000000">
        <w:rPr>
          <w:rFonts w:ascii="Book Antiqua" w:cs="Book Antiqua" w:eastAsia="Book Antiqua" w:hAnsi="Book Antiqua"/>
          <w:sz w:val="18"/>
          <w:szCs w:val="18"/>
          <w:rtl w:val="0"/>
        </w:rPr>
        <w:t xml:space="preserve"> </w:t>
      </w:r>
      <w:r w:rsidDel="00000000" w:rsidR="00000000" w:rsidRPr="00000000">
        <w:rPr>
          <w:rFonts w:ascii="Book Antiqua" w:cs="Book Antiqua" w:eastAsia="Book Antiqua" w:hAnsi="Book Antiqua"/>
          <w:sz w:val="18"/>
          <w:szCs w:val="18"/>
        </w:rPr>
        <w:drawing>
          <wp:inline distB="0" distT="0" distL="0" distR="0">
            <wp:extent cx="257175" cy="180975"/>
            <wp:effectExtent b="0" l="0" r="0" t="0"/>
            <wp:docPr descr="cid:image015.png@01D8EDE0.169F1050" id="6" name="image4.png"/>
            <a:graphic>
              <a:graphicData uri="http://schemas.openxmlformats.org/drawingml/2006/picture">
                <pic:pic>
                  <pic:nvPicPr>
                    <pic:cNvPr descr="cid:image015.png@01D8EDE0.169F1050" id="0" name="image4.png"/>
                    <pic:cNvPicPr preferRelativeResize="0"/>
                  </pic:nvPicPr>
                  <pic:blipFill>
                    <a:blip r:embed="rId14"/>
                    <a:srcRect b="0" l="0" r="0" t="0"/>
                    <a:stretch>
                      <a:fillRect/>
                    </a:stretch>
                  </pic:blipFill>
                  <pic:spPr>
                    <a:xfrm>
                      <a:off x="0" y="0"/>
                      <a:ext cx="257175" cy="18097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0" w:line="254" w:lineRule="auto"/>
        <w:jc w:val="both"/>
        <w:rPr>
          <w:rFonts w:ascii="Book Antiqua" w:cs="Book Antiqua" w:eastAsia="Book Antiqua" w:hAnsi="Book Antiqua"/>
          <w:b w:val="1"/>
          <w:sz w:val="26"/>
          <w:szCs w:val="26"/>
        </w:rPr>
      </w:pPr>
      <w:r w:rsidDel="00000000" w:rsidR="00000000" w:rsidRPr="00000000">
        <w:rPr>
          <w:rtl w:val="0"/>
        </w:rPr>
      </w:r>
    </w:p>
    <w:sectPr>
      <w:headerReference r:id="rId15" w:type="default"/>
      <w:foot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Turkish Airlines Inc.</w:t>
    </w:r>
  </w:p>
  <w:p w:rsidR="00000000" w:rsidDel="00000000" w:rsidP="00000000" w:rsidRDefault="00000000" w:rsidRPr="00000000" w14:paraId="00000021">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Office of Media Relations</w:t>
    </w:r>
  </w:p>
  <w:p w:rsidR="00000000" w:rsidDel="00000000" w:rsidP="00000000" w:rsidRDefault="00000000" w:rsidRPr="00000000" w14:paraId="00000022">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General Management Building</w:t>
    </w:r>
  </w:p>
  <w:p w:rsidR="00000000" w:rsidDel="00000000" w:rsidP="00000000" w:rsidRDefault="00000000" w:rsidRPr="00000000" w14:paraId="00000023">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34149, Yesilköy-Istanbul</w:t>
    </w:r>
  </w:p>
  <w:p w:rsidR="00000000" w:rsidDel="00000000" w:rsidP="00000000" w:rsidRDefault="00000000" w:rsidRPr="00000000" w14:paraId="00000024">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Tel:  +90 (212) 463 63 63 – 11153 / 11173</w:t>
    </w:r>
  </w:p>
  <w:p w:rsidR="00000000" w:rsidDel="00000000" w:rsidP="00000000" w:rsidRDefault="00000000" w:rsidRPr="00000000" w14:paraId="00000025">
    <w:pPr>
      <w:tabs>
        <w:tab w:val="center" w:leader="none" w:pos="4680"/>
        <w:tab w:val="right" w:leader="none" w:pos="9360"/>
      </w:tabs>
      <w:spacing w:after="0"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Fax: +90 (212) 465 20 78</w:t>
    </w:r>
    <w:r w:rsidDel="00000000" w:rsidR="00000000" w:rsidRPr="00000000">
      <w:drawing>
        <wp:anchor allowOverlap="1" behindDoc="0" distB="0" distT="0" distL="114300" distR="114300" hidden="0" layoutInCell="1" locked="0" relativeHeight="0" simplePos="0">
          <wp:simplePos x="0" y="0"/>
          <wp:positionH relativeFrom="column">
            <wp:posOffset>3886200</wp:posOffset>
          </wp:positionH>
          <wp:positionV relativeFrom="paragraph">
            <wp:posOffset>41275</wp:posOffset>
          </wp:positionV>
          <wp:extent cx="1943100" cy="240665"/>
          <wp:effectExtent b="0" l="0" r="0" t="0"/>
          <wp:wrapNone/>
          <wp:docPr descr="starlogo" id="2" name="image2.jpg"/>
          <a:graphic>
            <a:graphicData uri="http://schemas.openxmlformats.org/drawingml/2006/picture">
              <pic:pic>
                <pic:nvPicPr>
                  <pic:cNvPr descr="starlogo" id="0" name="image2.jpg"/>
                  <pic:cNvPicPr preferRelativeResize="0"/>
                </pic:nvPicPr>
                <pic:blipFill>
                  <a:blip r:embed="rId1"/>
                  <a:srcRect b="0" l="0" r="0" t="0"/>
                  <a:stretch>
                    <a:fillRect/>
                  </a:stretch>
                </pic:blipFill>
                <pic:spPr>
                  <a:xfrm>
                    <a:off x="0" y="0"/>
                    <a:ext cx="1943100" cy="240665"/>
                  </a:xfrm>
                  <a:prstGeom prst="rect"/>
                  <a:ln/>
                </pic:spPr>
              </pic:pic>
            </a:graphicData>
          </a:graphic>
        </wp:anchor>
      </w:drawing>
    </w:r>
  </w:p>
  <w:p w:rsidR="00000000" w:rsidDel="00000000" w:rsidP="00000000" w:rsidRDefault="00000000" w:rsidRPr="00000000" w14:paraId="00000026">
    <w:pPr>
      <w:tabs>
        <w:tab w:val="center" w:leader="none" w:pos="4680"/>
        <w:tab w:val="right" w:leader="none" w:pos="9360"/>
      </w:tabs>
      <w:spacing w:after="0" w:line="240" w:lineRule="auto"/>
      <w:rPr>
        <w:rFonts w:ascii="Arial" w:cs="Arial" w:eastAsia="Arial" w:hAnsi="Arial"/>
        <w:color w:val="000099"/>
        <w:sz w:val="16"/>
        <w:szCs w:val="16"/>
      </w:rPr>
    </w:pPr>
    <w:hyperlink r:id="rId2">
      <w:r w:rsidDel="00000000" w:rsidR="00000000" w:rsidRPr="00000000">
        <w:rPr>
          <w:rFonts w:ascii="Arial" w:cs="Arial" w:eastAsia="Arial" w:hAnsi="Arial"/>
          <w:color w:val="0563c1"/>
          <w:sz w:val="16"/>
          <w:szCs w:val="16"/>
          <w:u w:val="single"/>
          <w:rtl w:val="0"/>
        </w:rPr>
        <w:t xml:space="preserve">press@thy.com</w:t>
      </w:r>
    </w:hyperlink>
    <w:r w:rsidDel="00000000" w:rsidR="00000000" w:rsidRPr="00000000">
      <w:rPr>
        <w:rFonts w:ascii="Arial" w:cs="Arial" w:eastAsia="Arial" w:hAnsi="Arial"/>
        <w:color w:val="000000"/>
        <w:sz w:val="26"/>
        <w:szCs w:val="26"/>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443163" cy="443451"/>
          <wp:effectExtent b="0" l="0" r="0" t="0"/>
          <wp:docPr id="1" name="image5.png"/>
          <a:graphic>
            <a:graphicData uri="http://schemas.openxmlformats.org/drawingml/2006/picture">
              <pic:pic>
                <pic:nvPicPr>
                  <pic:cNvPr id="0" name="image5.png"/>
                  <pic:cNvPicPr preferRelativeResize="0"/>
                </pic:nvPicPr>
                <pic:blipFill>
                  <a:blip r:embed="rId1"/>
                  <a:srcRect b="33648" l="0" r="0" t="34029"/>
                  <a:stretch>
                    <a:fillRect/>
                  </a:stretch>
                </pic:blipFill>
                <pic:spPr>
                  <a:xfrm>
                    <a:off x="0" y="0"/>
                    <a:ext cx="2443163" cy="44345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jp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aralliance.com/en/home" TargetMode="External"/><Relationship Id="rId15" Type="http://schemas.openxmlformats.org/officeDocument/2006/relationships/header" Target="header1.xml"/><Relationship Id="rId14" Type="http://schemas.openxmlformats.org/officeDocument/2006/relationships/image" Target="media/image4.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turkishairlines.com" TargetMode="External"/><Relationship Id="rId8" Type="http://schemas.openxmlformats.org/officeDocument/2006/relationships/hyperlink" Target="mailto:mediarelations@starallianc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press@th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QSRCROIsv/fSmeFUX5/QfEBy/A==">CgMxLjAyCGguZ2pkZ3hzOAByITFwU2xRakhJVFY3T3ZGMkJWSWtiaEpUNEtMejJnZGhHdw==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